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F25" w14:textId="77777777" w:rsidR="00A76C7D" w:rsidRDefault="007F0921">
      <w:pPr>
        <w:pStyle w:val="Heading1"/>
      </w:pPr>
      <w:bookmarkStart w:id="0" w:name="_Toc423590668"/>
      <w:bookmarkStart w:id="1" w:name="_Toc417998182"/>
      <w:bookmarkStart w:id="2" w:name="_Toc417997828"/>
      <w:bookmarkStart w:id="3" w:name="_Toc417997776"/>
      <w:bookmarkStart w:id="4" w:name="_Toc417997716"/>
      <w:bookmarkStart w:id="5" w:name="_Toc417997655"/>
      <w:bookmarkStart w:id="6" w:name="_Toc417997420"/>
      <w:bookmarkStart w:id="7" w:name="_Toc423528300"/>
      <w:bookmarkStart w:id="8" w:name="_Toc423528350"/>
      <w:bookmarkStart w:id="9" w:name="_Toc423528532"/>
      <w:bookmarkStart w:id="10" w:name="_Toc423528856"/>
      <w:bookmarkStart w:id="11" w:name="_Toc423528870"/>
      <w:bookmarkStart w:id="12" w:name="_Toc423529061"/>
      <w:bookmarkStart w:id="13" w:name="_Toc423529149"/>
      <w:bookmarkStart w:id="14" w:name="_Toc423529213"/>
      <w:bookmarkStart w:id="15" w:name="_Toc423529306"/>
      <w:bookmarkStart w:id="16" w:name="_Toc423529353"/>
      <w:bookmarkStart w:id="17" w:name="_Toc423529964"/>
      <w:r>
        <w:t>GOVERNANCE AND NOMINATIONS committee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AD0E747" w14:textId="77777777" w:rsidR="00A76C7D" w:rsidRDefault="007F0921">
      <w:pPr>
        <w:pStyle w:val="Documentsubtitle"/>
      </w:pPr>
      <w:bookmarkStart w:id="18" w:name="_Toc417997421"/>
      <w:bookmarkStart w:id="19" w:name="_Toc417997656"/>
      <w:bookmarkStart w:id="20" w:name="_Toc417997717"/>
      <w:bookmarkStart w:id="21" w:name="_Toc417997777"/>
      <w:bookmarkStart w:id="22" w:name="_Toc417997829"/>
      <w:bookmarkStart w:id="23" w:name="_Toc417998183"/>
      <w:bookmarkStart w:id="24" w:name="_Toc423528301"/>
      <w:bookmarkStart w:id="25" w:name="_Toc423528351"/>
      <w:bookmarkStart w:id="26" w:name="_Toc423528533"/>
      <w:bookmarkStart w:id="27" w:name="_Toc423528857"/>
      <w:bookmarkStart w:id="28" w:name="_Toc423528871"/>
      <w:bookmarkStart w:id="29" w:name="_Toc423529062"/>
      <w:bookmarkStart w:id="30" w:name="_Toc423529150"/>
      <w:bookmarkStart w:id="31" w:name="_Toc423529214"/>
      <w:bookmarkStart w:id="32" w:name="_Toc423529307"/>
      <w:bookmarkStart w:id="33" w:name="_Toc423529354"/>
      <w:bookmarkStart w:id="34" w:name="_Toc423529965"/>
      <w:bookmarkStart w:id="35" w:name="_Toc423590669"/>
      <w:r>
        <w:t>TERMS OF REFERENCE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B456869" w14:textId="77777777" w:rsidR="00A76C7D" w:rsidRDefault="007F0921">
      <w:pPr>
        <w:pStyle w:val="Documentdate"/>
      </w:pPr>
      <w:r>
        <w:t>September 2023</w:t>
      </w:r>
    </w:p>
    <w:p w14:paraId="20C340EA" w14:textId="77777777" w:rsidR="00A76C7D" w:rsidRDefault="007F0921">
      <w:pPr>
        <w:spacing w:line="20" w:lineRule="atLeast"/>
      </w:pPr>
      <w:r>
        <w:br/>
      </w:r>
      <w:r>
        <w:rPr>
          <w:bCs/>
          <w:iCs/>
        </w:rPr>
        <w:t xml:space="preserve">The governance and nominations committee </w:t>
      </w: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sub committee</w:t>
      </w:r>
      <w:proofErr w:type="spellEnd"/>
      <w:r>
        <w:rPr>
          <w:bCs/>
          <w:iCs/>
        </w:rPr>
        <w:t xml:space="preserve"> of the board of trustees of NCVO.  </w:t>
      </w:r>
    </w:p>
    <w:p w14:paraId="7D9E1065" w14:textId="77777777" w:rsidR="00A76C7D" w:rsidRDefault="007F0921">
      <w:pPr>
        <w:spacing w:line="20" w:lineRule="atLeast"/>
        <w:rPr>
          <w:bCs/>
          <w:iCs/>
        </w:rPr>
      </w:pPr>
      <w:r>
        <w:rPr>
          <w:bCs/>
          <w:iCs/>
        </w:rPr>
        <w:t xml:space="preserve">A committee responsible for nominations is required under section 15 of NCVO’s </w:t>
      </w:r>
      <w:r>
        <w:rPr>
          <w:bCs/>
          <w:iCs/>
        </w:rPr>
        <w:t>articles of association to ensure:</w:t>
      </w:r>
    </w:p>
    <w:p w14:paraId="33E7E628" w14:textId="77777777" w:rsidR="00A76C7D" w:rsidRDefault="007F0921">
      <w:pPr>
        <w:pStyle w:val="ListBullet"/>
      </w:pPr>
      <w:r>
        <w:t xml:space="preserve">open and democratic elections of the president, chair, treasurer, the elected </w:t>
      </w:r>
      <w:proofErr w:type="gramStart"/>
      <w:r>
        <w:t>trustees</w:t>
      </w:r>
      <w:proofErr w:type="gramEnd"/>
      <w:r>
        <w:t xml:space="preserve"> and any elected members of the members’ assembly</w:t>
      </w:r>
    </w:p>
    <w:p w14:paraId="627562EC" w14:textId="77777777" w:rsidR="00A76C7D" w:rsidRDefault="007F0921">
      <w:pPr>
        <w:pStyle w:val="ListBullet"/>
      </w:pPr>
      <w:r>
        <w:t xml:space="preserve">a balance of skills and competencies on the board and committees and the development </w:t>
      </w:r>
      <w:r>
        <w:t>of such skills and competencies</w:t>
      </w:r>
    </w:p>
    <w:p w14:paraId="4C60E222" w14:textId="77777777" w:rsidR="00A76C7D" w:rsidRDefault="007F0921">
      <w:pPr>
        <w:pStyle w:val="ListBullet"/>
      </w:pPr>
      <w:r>
        <w:t>adequate succession planning and board development.</w:t>
      </w:r>
    </w:p>
    <w:p w14:paraId="3BD0097E" w14:textId="77777777" w:rsidR="00A76C7D" w:rsidRDefault="007F0921">
      <w:pPr>
        <w:spacing w:line="20" w:lineRule="atLeast"/>
      </w:pPr>
      <w:r>
        <w:rPr>
          <w:bCs/>
          <w:iCs/>
        </w:rPr>
        <w:t>These terms of reference are subject to the approval of the board and will be reviewed by the committee once a year and by the board every three years.</w:t>
      </w:r>
    </w:p>
    <w:p w14:paraId="37090A21" w14:textId="77777777" w:rsidR="00A76C7D" w:rsidRDefault="007F0921">
      <w:pPr>
        <w:pStyle w:val="Heading2"/>
      </w:pPr>
      <w:r>
        <w:t>Responsibilities</w:t>
      </w:r>
    </w:p>
    <w:p w14:paraId="70D66848" w14:textId="77777777" w:rsidR="00A76C7D" w:rsidRDefault="007F0921">
      <w:pPr>
        <w:pStyle w:val="ListBullet"/>
      </w:pPr>
      <w:r>
        <w:t>Ens</w:t>
      </w:r>
      <w:r>
        <w:t xml:space="preserve">ure open and democratic elections of the president, chair, </w:t>
      </w:r>
      <w:proofErr w:type="gramStart"/>
      <w:r>
        <w:t>treasurer</w:t>
      </w:r>
      <w:proofErr w:type="gramEnd"/>
      <w:r>
        <w:t xml:space="preserve"> and elected trustees.</w:t>
      </w:r>
    </w:p>
    <w:p w14:paraId="6C6B7941" w14:textId="77777777" w:rsidR="00A76C7D" w:rsidRDefault="007F0921">
      <w:pPr>
        <w:pStyle w:val="ListBullet"/>
      </w:pPr>
      <w:r>
        <w:t xml:space="preserve">Consider the skills and competencies required on the board and recommend from nominees put forward to them candidates for the posts of chair, </w:t>
      </w:r>
      <w:proofErr w:type="gramStart"/>
      <w:r>
        <w:t>treasurer</w:t>
      </w:r>
      <w:proofErr w:type="gramEnd"/>
      <w:r>
        <w:t xml:space="preserve"> and elected t</w:t>
      </w:r>
      <w:r>
        <w:t>rustees, including interviewing interested parties.</w:t>
      </w:r>
    </w:p>
    <w:p w14:paraId="7217B06A" w14:textId="77777777" w:rsidR="00A76C7D" w:rsidRDefault="007F0921">
      <w:pPr>
        <w:pStyle w:val="ListBullet"/>
      </w:pPr>
      <w:r>
        <w:t>In considering candidates, the committee shall have regard for the diversity of the board and committees to ensure this is reflective of wider society.</w:t>
      </w:r>
    </w:p>
    <w:p w14:paraId="11D7D1D0" w14:textId="77777777" w:rsidR="00A76C7D" w:rsidRDefault="007F0921">
      <w:pPr>
        <w:pStyle w:val="ListBullet"/>
      </w:pPr>
      <w:r>
        <w:t>Advise and make recommendations to the board concern</w:t>
      </w:r>
      <w:r>
        <w:t>ing the appointment of appointed trustees and members of committees, including interviewing interested parties.</w:t>
      </w:r>
    </w:p>
    <w:p w14:paraId="1F98E36B" w14:textId="77777777" w:rsidR="00A76C7D" w:rsidRDefault="007F0921">
      <w:pPr>
        <w:pStyle w:val="ListBullet"/>
      </w:pPr>
      <w:r>
        <w:t>Consider and make recommendations to the board concerning succession planning and board development and evaluation, including trustee appraisals</w:t>
      </w:r>
      <w:r>
        <w:t>.</w:t>
      </w:r>
    </w:p>
    <w:p w14:paraId="475944F4" w14:textId="77777777" w:rsidR="00A76C7D" w:rsidRDefault="007F0921">
      <w:pPr>
        <w:pStyle w:val="ListBullet"/>
      </w:pPr>
      <w:r>
        <w:t>Oversight of the trustee induction process to ensure in line with best practice.</w:t>
      </w:r>
    </w:p>
    <w:p w14:paraId="46B7309D" w14:textId="77777777" w:rsidR="00A76C7D" w:rsidRDefault="007F0921">
      <w:pPr>
        <w:pStyle w:val="ListBullet"/>
      </w:pPr>
      <w:r>
        <w:t>Chief executive recruitment and performance appraisal.</w:t>
      </w:r>
    </w:p>
    <w:p w14:paraId="7CD0C70E" w14:textId="77777777" w:rsidR="00A76C7D" w:rsidRDefault="007F0921">
      <w:pPr>
        <w:pStyle w:val="ListBullet"/>
      </w:pPr>
      <w:r>
        <w:t>Political activity policy (endorses and recommends to the board).</w:t>
      </w:r>
    </w:p>
    <w:p w14:paraId="707163FC" w14:textId="77777777" w:rsidR="00A76C7D" w:rsidRDefault="007F0921">
      <w:pPr>
        <w:pStyle w:val="ListBullet"/>
      </w:pPr>
      <w:r>
        <w:t>Making recommendations to the board about any decisi</w:t>
      </w:r>
      <w:r>
        <w:t>ons about political activity undertaken by trustees.</w:t>
      </w:r>
    </w:p>
    <w:p w14:paraId="4915BD26" w14:textId="77777777" w:rsidR="00A76C7D" w:rsidRDefault="007F0921">
      <w:pPr>
        <w:pStyle w:val="Heading2"/>
      </w:pPr>
      <w:r>
        <w:lastRenderedPageBreak/>
        <w:t>Membership</w:t>
      </w:r>
    </w:p>
    <w:p w14:paraId="6206255B" w14:textId="77777777" w:rsidR="00A76C7D" w:rsidRDefault="007F0921">
      <w:r>
        <w:t>The committee is made up of:</w:t>
      </w:r>
    </w:p>
    <w:p w14:paraId="20D409FF" w14:textId="77777777" w:rsidR="00A76C7D" w:rsidRDefault="007F0921">
      <w:pPr>
        <w:pStyle w:val="ListBullet"/>
      </w:pPr>
      <w:r>
        <w:t>the vice chair of the board who will act as chair of the committee</w:t>
      </w:r>
    </w:p>
    <w:p w14:paraId="019051BC" w14:textId="77777777" w:rsidR="00A76C7D" w:rsidRDefault="007F0921">
      <w:pPr>
        <w:pStyle w:val="ListBullet"/>
      </w:pPr>
      <w:r>
        <w:t>chair</w:t>
      </w:r>
    </w:p>
    <w:p w14:paraId="189C4176" w14:textId="77777777" w:rsidR="00A76C7D" w:rsidRDefault="007F0921">
      <w:pPr>
        <w:pStyle w:val="ListBullet"/>
      </w:pPr>
      <w:r>
        <w:t>four independent committee members.</w:t>
      </w:r>
    </w:p>
    <w:p w14:paraId="3D880D22" w14:textId="77777777" w:rsidR="00A76C7D" w:rsidRDefault="007F0921">
      <w:r>
        <w:t>The committee requires four people to be quorate of wh</w:t>
      </w:r>
      <w:r>
        <w:t>om two people must be independent members.</w:t>
      </w:r>
    </w:p>
    <w:p w14:paraId="276C9859" w14:textId="77777777" w:rsidR="00A76C7D" w:rsidRDefault="007F0921">
      <w:r>
        <w:t>All members of the committee are appointed by the board following recommendations from the committee.</w:t>
      </w:r>
    </w:p>
    <w:p w14:paraId="0C1D58F7" w14:textId="77777777" w:rsidR="00A76C7D" w:rsidRDefault="007F0921">
      <w:pPr>
        <w:pStyle w:val="Heading2"/>
      </w:pPr>
      <w:r>
        <w:t>Term</w:t>
      </w:r>
    </w:p>
    <w:p w14:paraId="5CEAABE8" w14:textId="77777777" w:rsidR="00A76C7D" w:rsidRDefault="007F0921">
      <w:r>
        <w:t>Trustee membership shall finish in line with their term on the board or before if the board elects to chan</w:t>
      </w:r>
      <w:r>
        <w:t>ge the members of the committee.</w:t>
      </w:r>
    </w:p>
    <w:p w14:paraId="31D1DB9E" w14:textId="77777777" w:rsidR="00A76C7D" w:rsidRDefault="007F0921">
      <w:r>
        <w:t>Independent members are appointed for terms of up to three years by the board and can be reappointed once.</w:t>
      </w:r>
    </w:p>
    <w:p w14:paraId="5AE30B4C" w14:textId="77777777" w:rsidR="00A76C7D" w:rsidRDefault="007F0921">
      <w:pPr>
        <w:pStyle w:val="Heading2"/>
      </w:pPr>
      <w:r>
        <w:t>Attendance</w:t>
      </w:r>
    </w:p>
    <w:p w14:paraId="533546B6" w14:textId="77777777" w:rsidR="00A76C7D" w:rsidRDefault="007F0921">
      <w:r>
        <w:t xml:space="preserve">Committee meetings shall also be attended by the chief executive, the chief operating officer (as </w:t>
      </w:r>
      <w:r>
        <w:t>company secretary) and the senior governance and planning officer.</w:t>
      </w:r>
    </w:p>
    <w:p w14:paraId="3DE6A7BB" w14:textId="77777777" w:rsidR="00A76C7D" w:rsidRDefault="007F0921">
      <w:r>
        <w:t xml:space="preserve">The chair can also co-opt active observers for a set </w:t>
      </w:r>
      <w:proofErr w:type="gramStart"/>
      <w:r>
        <w:t>period of time</w:t>
      </w:r>
      <w:proofErr w:type="gramEnd"/>
      <w:r>
        <w:t xml:space="preserve"> following a discussion with the committee which identifies the skills required from the additional attendee.</w:t>
      </w:r>
    </w:p>
    <w:p w14:paraId="54BD9530" w14:textId="77777777" w:rsidR="00A76C7D" w:rsidRDefault="007F0921">
      <w:r>
        <w:t>The committe</w:t>
      </w:r>
      <w:r>
        <w:t>e may have in camera sessions without any members of staff as required.</w:t>
      </w:r>
    </w:p>
    <w:p w14:paraId="08112DA1" w14:textId="77777777" w:rsidR="00A76C7D" w:rsidRDefault="007F0921">
      <w:pPr>
        <w:pStyle w:val="Heading2"/>
      </w:pPr>
      <w:r>
        <w:t>Meetings</w:t>
      </w:r>
    </w:p>
    <w:p w14:paraId="16102F24" w14:textId="77777777" w:rsidR="00A76C7D" w:rsidRDefault="007F0921">
      <w:r>
        <w:t>The committee is likely to meet four times a year unless the committee decides differently.</w:t>
      </w:r>
    </w:p>
    <w:p w14:paraId="05ED2DA8" w14:textId="77777777" w:rsidR="00A76C7D" w:rsidRDefault="007F0921">
      <w:r>
        <w:t>The committee will keep minutes of each business meeting including the names of mem</w:t>
      </w:r>
      <w:r>
        <w:t>bers present at a meeting and all resolutions and proceedings of the committee.</w:t>
      </w:r>
    </w:p>
    <w:p w14:paraId="76FD34A2" w14:textId="77777777" w:rsidR="00A76C7D" w:rsidRDefault="007F0921">
      <w:r>
        <w:t>The minutes of meeting will be circulated to the board.</w:t>
      </w:r>
    </w:p>
    <w:p w14:paraId="6AD92A4D" w14:textId="77777777" w:rsidR="00A76C7D" w:rsidRDefault="007F0921">
      <w:bookmarkStart w:id="36" w:name="_Hlk139107677"/>
      <w:r>
        <w:t>The committee will decide on the appropriate format (virtual or face to face) for meetings though generally a hybrid opt</w:t>
      </w:r>
      <w:r>
        <w:t>ion will always be available.</w:t>
      </w:r>
      <w:bookmarkEnd w:id="36"/>
    </w:p>
    <w:sectPr w:rsidR="00A76C7D">
      <w:headerReference w:type="default" r:id="rId10"/>
      <w:footerReference w:type="default" r:id="rId11"/>
      <w:footerReference w:type="first" r:id="rId12"/>
      <w:pgSz w:w="11906" w:h="16838"/>
      <w:pgMar w:top="1474" w:right="181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911B" w14:textId="77777777" w:rsidR="00F97218" w:rsidRDefault="00F97218">
      <w:pPr>
        <w:spacing w:after="0" w:line="240" w:lineRule="auto"/>
      </w:pPr>
      <w:r>
        <w:separator/>
      </w:r>
    </w:p>
  </w:endnote>
  <w:endnote w:type="continuationSeparator" w:id="0">
    <w:p w14:paraId="320F0678" w14:textId="77777777" w:rsidR="00F97218" w:rsidRDefault="00F9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EAF" w14:textId="77777777" w:rsidR="00407DBE" w:rsidRDefault="007F09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5A4A71" wp14:editId="5DE6C5CA">
          <wp:simplePos x="0" y="0"/>
          <wp:positionH relativeFrom="column">
            <wp:posOffset>5274945</wp:posOffset>
          </wp:positionH>
          <wp:positionV relativeFrom="paragraph">
            <wp:posOffset>-1036957</wp:posOffset>
          </wp:positionV>
          <wp:extent cx="975600" cy="1184404"/>
          <wp:effectExtent l="0" t="0" r="0" b="0"/>
          <wp:wrapNone/>
          <wp:docPr id="15220097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600" cy="1184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4386" w14:textId="77777777" w:rsidR="00407DBE" w:rsidRDefault="007F092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3EB038" wp14:editId="74FB4C60">
          <wp:simplePos x="0" y="0"/>
          <wp:positionH relativeFrom="column">
            <wp:posOffset>5273043</wp:posOffset>
          </wp:positionH>
          <wp:positionV relativeFrom="paragraph">
            <wp:posOffset>-1036957</wp:posOffset>
          </wp:positionV>
          <wp:extent cx="975363" cy="1184276"/>
          <wp:effectExtent l="0" t="0" r="0" b="0"/>
          <wp:wrapNone/>
          <wp:docPr id="60609770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3" cy="1184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567" w14:textId="77777777" w:rsidR="00F97218" w:rsidRDefault="00F97218">
      <w:pPr>
        <w:spacing w:after="0" w:line="240" w:lineRule="auto"/>
      </w:pPr>
      <w:r>
        <w:separator/>
      </w:r>
    </w:p>
  </w:footnote>
  <w:footnote w:type="continuationSeparator" w:id="0">
    <w:p w14:paraId="22EBC072" w14:textId="77777777" w:rsidR="00F97218" w:rsidRDefault="00F9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407B" w14:textId="77777777" w:rsidR="00407DBE" w:rsidRDefault="007F0921">
    <w:pPr>
      <w:pStyle w:val="Header"/>
      <w:rPr>
        <w:sz w:val="24"/>
        <w:szCs w:val="24"/>
      </w:rPr>
    </w:pPr>
    <w:r>
      <w:rPr>
        <w:sz w:val="24"/>
        <w:szCs w:val="24"/>
      </w:rPr>
      <w:t>Governance and nominations committee ‒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9D3"/>
    <w:multiLevelType w:val="multilevel"/>
    <w:tmpl w:val="C75CC348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94249D"/>
    <w:multiLevelType w:val="multilevel"/>
    <w:tmpl w:val="919CB7FA"/>
    <w:styleLink w:val="LFO16"/>
    <w:lvl w:ilvl="0">
      <w:numFmt w:val="bullet"/>
      <w:pStyle w:val="ListBullet2"/>
      <w:lvlText w:val="̶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1E8364B"/>
    <w:multiLevelType w:val="multilevel"/>
    <w:tmpl w:val="42A4D994"/>
    <w:styleLink w:val="LFO15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47471BC"/>
    <w:multiLevelType w:val="multilevel"/>
    <w:tmpl w:val="07325DB6"/>
    <w:styleLink w:val="LFO17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045105007">
    <w:abstractNumId w:val="2"/>
  </w:num>
  <w:num w:numId="2" w16cid:durableId="916785647">
    <w:abstractNumId w:val="1"/>
  </w:num>
  <w:num w:numId="3" w16cid:durableId="847210449">
    <w:abstractNumId w:val="3"/>
  </w:num>
  <w:num w:numId="4" w16cid:durableId="57620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D"/>
    <w:rsid w:val="00407DBE"/>
    <w:rsid w:val="007F0921"/>
    <w:rsid w:val="0082092F"/>
    <w:rsid w:val="00A76C7D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F488"/>
  <w15:docId w15:val="{E98C0CA1-3133-40D3-B6A3-44CE183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JhengHei" w:hAnsi="Calibri" w:cs="Arial"/>
        <w:sz w:val="22"/>
        <w:szCs w:val="22"/>
        <w:lang w:val="en-GB" w:eastAsia="zh-TW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0" w:line="300" w:lineRule="atLeast"/>
    </w:pPr>
    <w:rPr>
      <w:rFonts w:ascii="Calibri Light" w:hAnsi="Calibri Light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suppressAutoHyphens/>
      <w:spacing w:after="0" w:line="240" w:lineRule="auto"/>
      <w:outlineLvl w:val="0"/>
    </w:pPr>
    <w:rPr>
      <w:b/>
      <w:caps/>
      <w:color w:val="522A6B"/>
      <w:sz w:val="48"/>
      <w:szCs w:val="64"/>
    </w:rPr>
  </w:style>
  <w:style w:type="paragraph" w:styleId="Heading2">
    <w:name w:val="heading 2"/>
    <w:basedOn w:val="Heading1"/>
    <w:next w:val="Normal"/>
    <w:uiPriority w:val="9"/>
    <w:unhideWhenUsed/>
    <w:qFormat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/>
      <w:b/>
      <w:caps/>
      <w:color w:val="522A6B"/>
      <w:sz w:val="48"/>
      <w:szCs w:val="64"/>
    </w:rPr>
  </w:style>
  <w:style w:type="character" w:customStyle="1" w:styleId="Heading2Char">
    <w:name w:val="Heading 2 Char"/>
    <w:basedOn w:val="DefaultParagraphFont"/>
    <w:rPr>
      <w:rFonts w:ascii="Calibri" w:hAnsi="Calibri"/>
      <w:b/>
      <w:color w:val="522A6B"/>
      <w:sz w:val="40"/>
      <w:szCs w:val="64"/>
    </w:rPr>
  </w:style>
  <w:style w:type="paragraph" w:styleId="Caption">
    <w:name w:val="caption"/>
    <w:basedOn w:val="Normal"/>
    <w:next w:val="Normal"/>
    <w:pPr>
      <w:spacing w:before="120" w:after="120" w:line="220" w:lineRule="atLeast"/>
    </w:pPr>
    <w:rPr>
      <w:bCs/>
      <w:color w:val="7F7F7F"/>
      <w:sz w:val="20"/>
      <w:szCs w:val="18"/>
    </w:rPr>
  </w:style>
  <w:style w:type="paragraph" w:styleId="NoSpacing">
    <w:name w:val="No Spacing"/>
    <w:pPr>
      <w:suppressAutoHyphens/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rPr>
      <w:lang w:val="en-US" w:eastAsia="ja-JP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paragraph" w:customStyle="1" w:styleId="Documenttitle">
    <w:name w:val="Document title"/>
    <w:basedOn w:val="Normal"/>
    <w:next w:val="Documentsubtitle"/>
    <w:pPr>
      <w:spacing w:after="0" w:line="216" w:lineRule="auto"/>
    </w:pPr>
    <w:rPr>
      <w:rFonts w:ascii="Verlag Black" w:hAnsi="Verlag Black"/>
      <w:caps/>
      <w:color w:val="522A6B"/>
      <w:sz w:val="56"/>
    </w:rPr>
  </w:style>
  <w:style w:type="paragraph" w:customStyle="1" w:styleId="Documentsubtitle">
    <w:name w:val="Document subtitle"/>
    <w:basedOn w:val="Heading1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pPr>
      <w:spacing w:before="120" w:after="0"/>
    </w:pPr>
    <w:rPr>
      <w:color w:val="522A6B"/>
      <w:sz w:val="32"/>
    </w:rPr>
  </w:style>
  <w:style w:type="paragraph" w:customStyle="1" w:styleId="Contentstitle">
    <w:name w:val="Contents title"/>
    <w:basedOn w:val="Heading2"/>
    <w:next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color w:val="7F7F7F"/>
      <w:sz w:val="16"/>
    </w:rPr>
  </w:style>
  <w:style w:type="character" w:customStyle="1" w:styleId="HeaderChar">
    <w:name w:val="Header Char"/>
    <w:basedOn w:val="DefaultParagraphFont"/>
    <w:rPr>
      <w:rFonts w:ascii="Calibri Light" w:hAnsi="Calibri Light"/>
      <w:color w:val="7F7F7F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 Light" w:hAnsi="Calibri Light"/>
      <w:color w:val="000000"/>
      <w:sz w:val="24"/>
    </w:rPr>
  </w:style>
  <w:style w:type="character" w:customStyle="1" w:styleId="Heading3Char">
    <w:name w:val="Heading 3 Char"/>
    <w:basedOn w:val="DefaultParagraphFont"/>
    <w:rPr>
      <w:rFonts w:ascii="Calibri" w:hAnsi="Calibri"/>
      <w:b/>
      <w:color w:val="522A6B"/>
      <w:sz w:val="32"/>
      <w:szCs w:val="64"/>
    </w:rPr>
  </w:style>
  <w:style w:type="paragraph" w:styleId="ListBullet">
    <w:name w:val="List Bullet"/>
    <w:basedOn w:val="Normal"/>
    <w:pPr>
      <w:numPr>
        <w:numId w:val="1"/>
      </w:numPr>
      <w:tabs>
        <w:tab w:val="left" w:pos="-76"/>
      </w:tabs>
      <w:spacing w:after="120" w:line="276" w:lineRule="auto"/>
      <w:contextualSpacing/>
    </w:pPr>
  </w:style>
  <w:style w:type="paragraph" w:styleId="ListBullet2">
    <w:name w:val="List Bullet 2"/>
    <w:basedOn w:val="Normal"/>
    <w:pPr>
      <w:numPr>
        <w:numId w:val="2"/>
      </w:numPr>
      <w:tabs>
        <w:tab w:val="left" w:pos="-7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</w:style>
  <w:style w:type="paragraph" w:styleId="TOC1">
    <w:name w:val="toc 1"/>
    <w:basedOn w:val="Normal"/>
    <w:next w:val="Normal"/>
    <w:autoRedefine/>
    <w:pPr>
      <w:tabs>
        <w:tab w:val="right" w:leader="dot" w:pos="8948"/>
      </w:tabs>
      <w:spacing w:after="80"/>
      <w:ind w:right="2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3"/>
      </w:numPr>
      <w:tabs>
        <w:tab w:val="left" w:pos="-76"/>
      </w:tabs>
      <w:spacing w:after="120" w:line="276" w:lineRule="auto"/>
      <w:contextualSpacing/>
    </w:pPr>
  </w:style>
  <w:style w:type="paragraph" w:styleId="ListNumber2">
    <w:name w:val="List Number 2"/>
    <w:basedOn w:val="Normal"/>
    <w:pPr>
      <w:numPr>
        <w:numId w:val="4"/>
      </w:numPr>
      <w:tabs>
        <w:tab w:val="left" w:pos="-76"/>
      </w:tabs>
      <w:spacing w:after="120" w:line="276" w:lineRule="auto"/>
      <w:contextualSpacing/>
    </w:pPr>
  </w:style>
  <w:style w:type="paragraph" w:customStyle="1" w:styleId="Tableheading">
    <w:name w:val="Table heading"/>
    <w:basedOn w:val="Normal"/>
    <w:pPr>
      <w:spacing w:after="0"/>
    </w:pPr>
    <w:rPr>
      <w:rFonts w:ascii="Calibri" w:hAnsi="Calibri"/>
      <w:b/>
      <w:color w:val="FFFFFF"/>
      <w:sz w:val="22"/>
    </w:rPr>
  </w:style>
  <w:style w:type="paragraph" w:customStyle="1" w:styleId="Tabletext">
    <w:name w:val="Table text"/>
    <w:basedOn w:val="Tableheading"/>
    <w:rPr>
      <w:b w:val="0"/>
      <w:color w:val="522A6B"/>
    </w:rPr>
  </w:style>
  <w:style w:type="paragraph" w:customStyle="1" w:styleId="Authorname">
    <w:name w:val="Author name"/>
    <w:basedOn w:val="Normal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rPr>
      <w:rFonts w:ascii="Calibri" w:hAnsi="Calibri"/>
      <w:b/>
      <w:color w:val="522A6B"/>
      <w:sz w:val="28"/>
      <w:szCs w:val="64"/>
    </w:rPr>
  </w:style>
  <w:style w:type="character" w:customStyle="1" w:styleId="Heading5Char">
    <w:name w:val="Heading 5 Char"/>
    <w:basedOn w:val="DefaultParagraphFont"/>
    <w:rPr>
      <w:rFonts w:ascii="Calibri" w:hAnsi="Calibri"/>
      <w:b/>
      <w:color w:val="000000"/>
      <w:sz w:val="24"/>
    </w:rPr>
  </w:style>
  <w:style w:type="character" w:styleId="IntenseEmphasis">
    <w:name w:val="Intense Emphasis"/>
    <w:basedOn w:val="DefaultParagraphFont"/>
    <w:rPr>
      <w:i/>
      <w:iCs/>
      <w:color w:val="BCBEB5"/>
    </w:rPr>
  </w:style>
  <w:style w:type="paragraph" w:styleId="IntenseQuote">
    <w:name w:val="Intense Quote"/>
    <w:basedOn w:val="Normal"/>
    <w:next w:val="Normal"/>
    <w:pPr>
      <w:pBdr>
        <w:top w:val="single" w:sz="4" w:space="10" w:color="BCBEB5"/>
        <w:bottom w:val="single" w:sz="4" w:space="10" w:color="BCBEB5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160"/>
      <w:ind w:left="864" w:right="864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Calibri Light" w:hAnsi="Calibri Light"/>
      <w:iCs/>
      <w:color w:val="404040"/>
      <w:sz w:val="24"/>
    </w:rPr>
  </w:style>
  <w:style w:type="character" w:styleId="Strong">
    <w:name w:val="Strong"/>
    <w:basedOn w:val="DefaultParagraphFont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" w:hAnsi="Calibri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" w:eastAsia="Microsoft JhengHei" w:hAnsi="Calibri" w:cs="Arial"/>
      <w:spacing w:val="-10"/>
      <w:kern w:val="3"/>
      <w:sz w:val="56"/>
      <w:szCs w:val="56"/>
    </w:rPr>
  </w:style>
  <w:style w:type="paragraph" w:styleId="TOCHeading">
    <w:name w:val="TOC Heading"/>
    <w:basedOn w:val="Heading2"/>
    <w:next w:val="Normal"/>
    <w:rPr>
      <w:szCs w:val="52"/>
    </w:rPr>
  </w:style>
  <w:style w:type="paragraph" w:styleId="TOC3">
    <w:name w:val="toc 3"/>
    <w:basedOn w:val="TOC2"/>
    <w:next w:val="Normal"/>
    <w:autoRedefine/>
    <w:pPr>
      <w:spacing w:line="256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ableofFigures">
    <w:name w:val="table of figures"/>
    <w:basedOn w:val="Normal"/>
    <w:next w:val="Normal"/>
    <w:pPr>
      <w:tabs>
        <w:tab w:val="right" w:leader="dot" w:pos="8948"/>
      </w:tabs>
      <w:spacing w:after="80"/>
    </w:pPr>
  </w:style>
  <w:style w:type="character" w:styleId="IntenseReference">
    <w:name w:val="Intense Reference"/>
    <w:basedOn w:val="DefaultParagraphFont"/>
    <w:rPr>
      <w:rFonts w:ascii="Calibri" w:hAnsi="Calibri"/>
      <w:b/>
      <w:bCs/>
      <w:smallCaps/>
      <w:color w:val="BCBEB5"/>
      <w:spacing w:val="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numbering" w:customStyle="1" w:styleId="LFO15">
    <w:name w:val="LFO15"/>
    <w:basedOn w:val="NoList"/>
    <w:pPr>
      <w:numPr>
        <w:numId w:val="1"/>
      </w:numPr>
    </w:pPr>
  </w:style>
  <w:style w:type="numbering" w:customStyle="1" w:styleId="LFO16">
    <w:name w:val="LFO16"/>
    <w:basedOn w:val="NoList"/>
    <w:pPr>
      <w:numPr>
        <w:numId w:val="2"/>
      </w:numPr>
    </w:pPr>
  </w:style>
  <w:style w:type="numbering" w:customStyle="1" w:styleId="LFO17">
    <w:name w:val="LFO17"/>
    <w:basedOn w:val="NoList"/>
    <w:pPr>
      <w:numPr>
        <w:numId w:val="3"/>
      </w:numPr>
    </w:pPr>
  </w:style>
  <w:style w:type="numbering" w:customStyle="1" w:styleId="LFO18">
    <w:name w:val="LFO1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.Beck\OneDrive%20-%20National%20Council%20for%20Voluntary%20Organisations\NCVO%20general%20A4%20-%20default%20fo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7F3A600D8F42AF79078358D9E2C2" ma:contentTypeVersion="14" ma:contentTypeDescription="Create a new document." ma:contentTypeScope="" ma:versionID="e607133f8476cf40724076432513fd42">
  <xsd:schema xmlns:xsd="http://www.w3.org/2001/XMLSchema" xmlns:xs="http://www.w3.org/2001/XMLSchema" xmlns:p="http://schemas.microsoft.com/office/2006/metadata/properties" xmlns:ns2="076986a1-c671-4d05-9459-3d83f29b296a" xmlns:ns3="72ce63a4-fb0c-48ab-9703-035e97f6b25e" targetNamespace="http://schemas.microsoft.com/office/2006/metadata/properties" ma:root="true" ma:fieldsID="0f7ba1306478ede087abbb7a95e844e5" ns2:_="" ns3:_="">
    <xsd:import namespace="076986a1-c671-4d05-9459-3d83f29b296a"/>
    <xsd:import namespace="72ce63a4-fb0c-48ab-9703-035e97f6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86a1-c671-4d05-9459-3d83f29b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02eada-e4a9-4e59-8e48-d65e5683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63a4-fb0c-48ab-9703-035e97f6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188bb-2843-470a-be1d-d68d15d9012e}" ma:internalName="TaxCatchAll" ma:showField="CatchAllData" ma:web="72ce63a4-fb0c-48ab-9703-035e97f6b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6986a1-c671-4d05-9459-3d83f29b296a">
      <Terms xmlns="http://schemas.microsoft.com/office/infopath/2007/PartnerControls"/>
    </lcf76f155ced4ddcb4097134ff3c332f>
    <TaxCatchAll xmlns="72ce63a4-fb0c-48ab-9703-035e97f6b25e"/>
  </documentManagement>
</p:properties>
</file>

<file path=customXml/itemProps1.xml><?xml version="1.0" encoding="utf-8"?>
<ds:datastoreItem xmlns:ds="http://schemas.openxmlformats.org/officeDocument/2006/customXml" ds:itemID="{B3336F91-BF8D-4877-A40D-1C9E1ACEA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B9247-7C3B-47B3-9979-9EAE1ED9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986a1-c671-4d05-9459-3d83f29b296a"/>
    <ds:schemaRef ds:uri="72ce63a4-fb0c-48ab-9703-035e97f6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FDDC5-4C4C-4960-8C57-5630294B0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 general A4 - default fonts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Jim Beck</dc:creator>
  <cp:keywords>Keywords</cp:keywords>
  <dc:description/>
  <cp:lastModifiedBy>Jim Beck</cp:lastModifiedBy>
  <cp:revision>2</cp:revision>
  <cp:lastPrinted>2015-03-05T18:27:00Z</cp:lastPrinted>
  <dcterms:created xsi:type="dcterms:W3CDTF">2023-10-09T14:09:00Z</dcterms:created>
  <dcterms:modified xsi:type="dcterms:W3CDTF">2023-10-09T14:09:00Z</dcterms:modified>
</cp:coreProperties>
</file>