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B9F8" w14:textId="77777777" w:rsidR="001073CB" w:rsidRDefault="00A73799">
      <w:pPr>
        <w:pStyle w:val="Heading1"/>
      </w:pPr>
      <w:bookmarkStart w:id="0" w:name="_Toc423529964"/>
      <w:bookmarkStart w:id="1" w:name="_Toc423529353"/>
      <w:bookmarkStart w:id="2" w:name="_Toc423529306"/>
      <w:bookmarkStart w:id="3" w:name="_Toc423529213"/>
      <w:bookmarkStart w:id="4" w:name="_Toc423529149"/>
      <w:bookmarkStart w:id="5" w:name="_Toc423529061"/>
      <w:bookmarkStart w:id="6" w:name="_Toc423528870"/>
      <w:bookmarkStart w:id="7" w:name="_Toc423528856"/>
      <w:bookmarkStart w:id="8" w:name="_Toc423528532"/>
      <w:bookmarkStart w:id="9" w:name="_Toc423528350"/>
      <w:bookmarkStart w:id="10" w:name="_Toc423528300"/>
      <w:bookmarkStart w:id="11" w:name="_Toc417997420"/>
      <w:bookmarkStart w:id="12" w:name="_Toc417997655"/>
      <w:bookmarkStart w:id="13" w:name="_Toc417997716"/>
      <w:bookmarkStart w:id="14" w:name="_Toc417997776"/>
      <w:bookmarkStart w:id="15" w:name="_Toc417997828"/>
      <w:bookmarkStart w:id="16" w:name="_Toc417998182"/>
      <w:bookmarkStart w:id="17" w:name="_Toc423590668"/>
      <w:r>
        <w:t>AUDIT AND RISK COMMITTEE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82BB9F9" w14:textId="77777777" w:rsidR="001073CB" w:rsidRDefault="00A73799">
      <w:pPr>
        <w:pStyle w:val="Documentsubtitle"/>
      </w:pPr>
      <w:bookmarkStart w:id="18" w:name="_Toc417997421"/>
      <w:bookmarkStart w:id="19" w:name="_Toc417997656"/>
      <w:bookmarkStart w:id="20" w:name="_Toc417997717"/>
      <w:bookmarkStart w:id="21" w:name="_Toc417997777"/>
      <w:bookmarkStart w:id="22" w:name="_Toc417997829"/>
      <w:bookmarkStart w:id="23" w:name="_Toc417998183"/>
      <w:bookmarkStart w:id="24" w:name="_Toc423528301"/>
      <w:bookmarkStart w:id="25" w:name="_Toc423528351"/>
      <w:bookmarkStart w:id="26" w:name="_Toc423528533"/>
      <w:bookmarkStart w:id="27" w:name="_Toc423528857"/>
      <w:bookmarkStart w:id="28" w:name="_Toc423528871"/>
      <w:bookmarkStart w:id="29" w:name="_Toc423529062"/>
      <w:bookmarkStart w:id="30" w:name="_Toc423529150"/>
      <w:bookmarkStart w:id="31" w:name="_Toc423529214"/>
      <w:bookmarkStart w:id="32" w:name="_Toc423529307"/>
      <w:bookmarkStart w:id="33" w:name="_Toc423529354"/>
      <w:bookmarkStart w:id="34" w:name="_Toc423529965"/>
      <w:bookmarkStart w:id="35" w:name="_Toc423590669"/>
      <w:r>
        <w:t>TERMS OF REFERENCE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182BB9FA" w14:textId="77777777" w:rsidR="001073CB" w:rsidRDefault="00A73799">
      <w:pPr>
        <w:pStyle w:val="Documentdate"/>
      </w:pPr>
      <w:r>
        <w:t>September 2023</w:t>
      </w:r>
      <w:r>
        <w:br/>
      </w:r>
    </w:p>
    <w:p w14:paraId="182BB9FB" w14:textId="77777777" w:rsidR="001073CB" w:rsidRDefault="00A73799">
      <w:pPr>
        <w:spacing w:line="20" w:lineRule="atLeast"/>
        <w:rPr>
          <w:bCs/>
          <w:iCs/>
        </w:rPr>
      </w:pPr>
      <w:r>
        <w:rPr>
          <w:bCs/>
          <w:iCs/>
        </w:rPr>
        <w:t xml:space="preserve">The audit and risk committee </w:t>
      </w:r>
      <w:proofErr w:type="gramStart"/>
      <w:r>
        <w:rPr>
          <w:bCs/>
          <w:iCs/>
        </w:rPr>
        <w:t>is</w:t>
      </w:r>
      <w:proofErr w:type="gramEnd"/>
      <w:r>
        <w:rPr>
          <w:bCs/>
          <w:iCs/>
        </w:rPr>
        <w:t xml:space="preserve"> a </w:t>
      </w:r>
      <w:proofErr w:type="spellStart"/>
      <w:r>
        <w:rPr>
          <w:bCs/>
          <w:iCs/>
        </w:rPr>
        <w:t>sub committee</w:t>
      </w:r>
      <w:proofErr w:type="spellEnd"/>
      <w:r>
        <w:rPr>
          <w:bCs/>
          <w:iCs/>
        </w:rPr>
        <w:t xml:space="preserve"> of the board of trustees of NCVO. </w:t>
      </w:r>
    </w:p>
    <w:p w14:paraId="182BB9FC" w14:textId="77777777" w:rsidR="001073CB" w:rsidRDefault="00A73799">
      <w:pPr>
        <w:spacing w:line="20" w:lineRule="atLeast"/>
      </w:pPr>
      <w:r>
        <w:rPr>
          <w:bCs/>
          <w:iCs/>
        </w:rPr>
        <w:t xml:space="preserve">These terms of reference are subject to the approval of the board and will be reviewed by </w:t>
      </w:r>
      <w:r>
        <w:rPr>
          <w:bCs/>
          <w:iCs/>
        </w:rPr>
        <w:t>the committee once a year and by the board every three years.</w:t>
      </w:r>
    </w:p>
    <w:p w14:paraId="182BB9FD" w14:textId="77777777" w:rsidR="001073CB" w:rsidRDefault="00A73799">
      <w:pPr>
        <w:pStyle w:val="Heading2"/>
        <w:spacing w:line="20" w:lineRule="atLeast"/>
      </w:pPr>
      <w:bookmarkStart w:id="36" w:name="_Toc423529152"/>
      <w:bookmarkStart w:id="37" w:name="_Toc423528873"/>
      <w:bookmarkStart w:id="38" w:name="_Toc423528858"/>
      <w:bookmarkStart w:id="39" w:name="_Toc417997423"/>
      <w:bookmarkStart w:id="40" w:name="_Toc417997719"/>
      <w:bookmarkStart w:id="41" w:name="_Toc417997779"/>
      <w:bookmarkStart w:id="42" w:name="_Toc417997831"/>
      <w:bookmarkStart w:id="43" w:name="_Toc417998185"/>
      <w:bookmarkStart w:id="44" w:name="_Toc423590672"/>
      <w:r>
        <w:t>Responsibilities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82BB9FE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Oversight of external audit and auditors including agreeing scope and </w:t>
      </w:r>
      <w:proofErr w:type="gramStart"/>
      <w:r>
        <w:rPr>
          <w:rFonts w:cs="Calibri"/>
          <w:color w:val="auto"/>
          <w:szCs w:val="24"/>
        </w:rPr>
        <w:t>fees, and</w:t>
      </w:r>
      <w:proofErr w:type="gramEnd"/>
      <w:r>
        <w:rPr>
          <w:rFonts w:cs="Calibri"/>
          <w:color w:val="auto"/>
          <w:szCs w:val="24"/>
        </w:rPr>
        <w:t xml:space="preserve"> receiving auditors report and annual report and accounts. The committee will:</w:t>
      </w:r>
    </w:p>
    <w:p w14:paraId="182BB9FF" w14:textId="77777777" w:rsidR="001073CB" w:rsidRDefault="00A73799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after="0" w:line="240" w:lineRule="auto"/>
        <w:ind w:left="72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consider tenders fo</w:t>
      </w:r>
      <w:r>
        <w:rPr>
          <w:rFonts w:cs="Calibri Light"/>
          <w:szCs w:val="24"/>
        </w:rPr>
        <w:t xml:space="preserve">r external audit services, </w:t>
      </w:r>
      <w:proofErr w:type="gramStart"/>
      <w:r>
        <w:rPr>
          <w:rFonts w:cs="Calibri Light"/>
          <w:szCs w:val="24"/>
        </w:rPr>
        <w:t>endorse</w:t>
      </w:r>
      <w:proofErr w:type="gramEnd"/>
      <w:r>
        <w:rPr>
          <w:rFonts w:cs="Calibri Light"/>
          <w:szCs w:val="24"/>
        </w:rPr>
        <w:t xml:space="preserve"> and recommend to the board which firm should carry out the annual audit of the statutory accounts</w:t>
      </w:r>
    </w:p>
    <w:p w14:paraId="182BBA00" w14:textId="77777777" w:rsidR="001073CB" w:rsidRDefault="00A73799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after="0" w:line="240" w:lineRule="auto"/>
        <w:ind w:left="72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discuss with the external auditor, the nature and scope of the audit and review the auditor’s quality control procedures an</w:t>
      </w:r>
      <w:r>
        <w:rPr>
          <w:rFonts w:cs="Calibri Light"/>
          <w:szCs w:val="24"/>
        </w:rPr>
        <w:t>d steps taken by the auditor to respond to changes in regulatory and other requirements</w:t>
      </w:r>
    </w:p>
    <w:p w14:paraId="182BBA01" w14:textId="77777777" w:rsidR="001073CB" w:rsidRDefault="00A73799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after="0" w:line="240" w:lineRule="auto"/>
        <w:ind w:left="72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scrutinise and advise the board on the contents of the draft audit report and of any management letter the auditors may wish to present to the board</w:t>
      </w:r>
    </w:p>
    <w:p w14:paraId="182BBA02" w14:textId="77777777" w:rsidR="001073CB" w:rsidRDefault="00A73799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after="0" w:line="240" w:lineRule="auto"/>
        <w:ind w:left="72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endorse and recomme</w:t>
      </w:r>
      <w:r>
        <w:rPr>
          <w:rFonts w:cs="Calibri Light"/>
          <w:szCs w:val="24"/>
        </w:rPr>
        <w:t>nd to the board any representations that may be needed by the auditors in connection with the statutory accounts or any other financial statements</w:t>
      </w:r>
    </w:p>
    <w:p w14:paraId="182BBA03" w14:textId="77777777" w:rsidR="001073CB" w:rsidRDefault="00A73799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after="0" w:line="240" w:lineRule="auto"/>
        <w:ind w:left="72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 xml:space="preserve">consider the appropriateness of executive action following audit reviews and advise the leadership team of </w:t>
      </w:r>
      <w:r>
        <w:rPr>
          <w:rFonts w:cs="Calibri Light"/>
          <w:szCs w:val="24"/>
        </w:rPr>
        <w:t>any additional or alternative steps to be taken</w:t>
      </w:r>
    </w:p>
    <w:p w14:paraId="182BBA04" w14:textId="77777777" w:rsidR="001073CB" w:rsidRDefault="00A73799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after="0" w:line="240" w:lineRule="auto"/>
        <w:ind w:left="72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review, and challenge where necessary, the actions and judgements of the leadership team, in relation to annual financial statements before endorsement and submission to the board, paying particular attention</w:t>
      </w:r>
      <w:r>
        <w:rPr>
          <w:rFonts w:cs="Calibri Light"/>
          <w:szCs w:val="24"/>
        </w:rPr>
        <w:t xml:space="preserve"> to:</w:t>
      </w:r>
    </w:p>
    <w:p w14:paraId="182BBA05" w14:textId="77777777" w:rsidR="001073CB" w:rsidRDefault="00A73799">
      <w:pPr>
        <w:numPr>
          <w:ilvl w:val="2"/>
          <w:numId w:val="7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critical accounting policies and practices, and any changes to them</w:t>
      </w:r>
    </w:p>
    <w:p w14:paraId="182BBA06" w14:textId="77777777" w:rsidR="001073CB" w:rsidRDefault="00A73799">
      <w:pPr>
        <w:numPr>
          <w:ilvl w:val="2"/>
          <w:numId w:val="7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decisions requiring a major element of judgement</w:t>
      </w:r>
    </w:p>
    <w:p w14:paraId="182BBA07" w14:textId="77777777" w:rsidR="001073CB" w:rsidRDefault="00A73799">
      <w:pPr>
        <w:numPr>
          <w:ilvl w:val="2"/>
          <w:numId w:val="7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the extent to which the financial statements are affected by any unusual transactions in the year, and how they are disclosed</w:t>
      </w:r>
    </w:p>
    <w:p w14:paraId="182BBA08" w14:textId="77777777" w:rsidR="001073CB" w:rsidRDefault="00A73799">
      <w:pPr>
        <w:numPr>
          <w:ilvl w:val="2"/>
          <w:numId w:val="7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the clar</w:t>
      </w:r>
      <w:r>
        <w:rPr>
          <w:rFonts w:cs="Calibri Light"/>
          <w:szCs w:val="24"/>
        </w:rPr>
        <w:t>ity of disclosure</w:t>
      </w:r>
    </w:p>
    <w:p w14:paraId="182BBA09" w14:textId="77777777" w:rsidR="001073CB" w:rsidRDefault="00A73799">
      <w:pPr>
        <w:numPr>
          <w:ilvl w:val="0"/>
          <w:numId w:val="8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significant adjustments resulting from the audit</w:t>
      </w:r>
    </w:p>
    <w:p w14:paraId="182BBA0A" w14:textId="77777777" w:rsidR="001073CB" w:rsidRDefault="00A73799">
      <w:pPr>
        <w:numPr>
          <w:ilvl w:val="0"/>
          <w:numId w:val="8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the going concern assumption</w:t>
      </w:r>
    </w:p>
    <w:p w14:paraId="182BBA0B" w14:textId="77777777" w:rsidR="001073CB" w:rsidRDefault="00A73799">
      <w:pPr>
        <w:numPr>
          <w:ilvl w:val="0"/>
          <w:numId w:val="8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compliance with accounting standards</w:t>
      </w:r>
    </w:p>
    <w:p w14:paraId="182BBA0C" w14:textId="77777777" w:rsidR="001073CB" w:rsidRDefault="00A73799">
      <w:pPr>
        <w:numPr>
          <w:ilvl w:val="0"/>
          <w:numId w:val="8"/>
        </w:numPr>
        <w:tabs>
          <w:tab w:val="left" w:pos="1080"/>
        </w:tabs>
        <w:overflowPunct w:val="0"/>
        <w:autoSpaceDE w:val="0"/>
        <w:spacing w:after="0" w:line="240" w:lineRule="auto"/>
        <w:ind w:left="108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compliance with other legal requirements.</w:t>
      </w:r>
    </w:p>
    <w:p w14:paraId="182BBA0D" w14:textId="77777777" w:rsidR="001073CB" w:rsidRDefault="00A73799">
      <w:pPr>
        <w:numPr>
          <w:ilvl w:val="0"/>
          <w:numId w:val="6"/>
        </w:numPr>
        <w:tabs>
          <w:tab w:val="left" w:pos="720"/>
        </w:tabs>
        <w:overflowPunct w:val="0"/>
        <w:autoSpaceDE w:val="0"/>
        <w:spacing w:after="0" w:line="240" w:lineRule="auto"/>
        <w:ind w:left="720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reviewing internal control systems and review the policies and process for identi</w:t>
      </w:r>
      <w:r>
        <w:rPr>
          <w:rFonts w:cs="Calibri Light"/>
          <w:szCs w:val="24"/>
        </w:rPr>
        <w:t>fying and assessing business risks and the management of those risks.</w:t>
      </w:r>
    </w:p>
    <w:p w14:paraId="182BBA0E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approach to risk and monitoring of risk register.</w:t>
      </w:r>
    </w:p>
    <w:p w14:paraId="182BBA0F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Regular deep dives into risk areas.</w:t>
      </w:r>
    </w:p>
    <w:p w14:paraId="182BBA10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Review schedule of delegation every two years, endorse and recommend to the board.</w:t>
      </w:r>
    </w:p>
    <w:p w14:paraId="182BBA11" w14:textId="77777777" w:rsidR="001073CB" w:rsidRDefault="00A73799">
      <w:pPr>
        <w:pStyle w:val="ListParagraph"/>
        <w:numPr>
          <w:ilvl w:val="0"/>
          <w:numId w:val="5"/>
        </w:numPr>
        <w:spacing w:after="0" w:line="20" w:lineRule="atLeast"/>
        <w:ind w:left="357" w:hanging="357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lastRenderedPageBreak/>
        <w:t>Over</w:t>
      </w:r>
      <w:r>
        <w:rPr>
          <w:rFonts w:cs="Calibri"/>
          <w:color w:val="auto"/>
          <w:szCs w:val="24"/>
        </w:rPr>
        <w:t>sight of policy reviews.</w:t>
      </w:r>
    </w:p>
    <w:p w14:paraId="182BBA12" w14:textId="77777777" w:rsidR="001073CB" w:rsidRDefault="00A73799">
      <w:pPr>
        <w:pStyle w:val="ListParagraph"/>
        <w:numPr>
          <w:ilvl w:val="0"/>
          <w:numId w:val="5"/>
        </w:numPr>
        <w:spacing w:after="0" w:line="20" w:lineRule="atLeast"/>
        <w:ind w:left="357" w:hanging="357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Approval of other policies or recommendation to the board:</w:t>
      </w:r>
    </w:p>
    <w:p w14:paraId="182BBA13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anti-bribery (approval)</w:t>
      </w:r>
    </w:p>
    <w:p w14:paraId="182BBA14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complaints (approval)</w:t>
      </w:r>
    </w:p>
    <w:p w14:paraId="182BBA15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conflicts of interest (endorse and recommend to the board)</w:t>
      </w:r>
    </w:p>
    <w:p w14:paraId="182BBA16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data protection (approval)</w:t>
      </w:r>
    </w:p>
    <w:p w14:paraId="182BBA17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 xml:space="preserve">ethical (endorse and recommend to the </w:t>
      </w:r>
      <w:r>
        <w:rPr>
          <w:rFonts w:cs="Calibri Light"/>
          <w:szCs w:val="24"/>
        </w:rPr>
        <w:t>board)</w:t>
      </w:r>
    </w:p>
    <w:p w14:paraId="182BBA18" w14:textId="77777777" w:rsidR="001073CB" w:rsidRDefault="00A73799">
      <w:pPr>
        <w:numPr>
          <w:ilvl w:val="0"/>
          <w:numId w:val="10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environmental</w:t>
      </w:r>
    </w:p>
    <w:p w14:paraId="182BBA19" w14:textId="77777777" w:rsidR="001073CB" w:rsidRDefault="00A73799">
      <w:pPr>
        <w:numPr>
          <w:ilvl w:val="0"/>
          <w:numId w:val="11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fundraising and corporate relationships</w:t>
      </w:r>
    </w:p>
    <w:p w14:paraId="182BBA1A" w14:textId="77777777" w:rsidR="001073CB" w:rsidRDefault="00A73799">
      <w:pPr>
        <w:numPr>
          <w:ilvl w:val="0"/>
          <w:numId w:val="11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modern slavery statement</w:t>
      </w:r>
    </w:p>
    <w:p w14:paraId="182BBA1B" w14:textId="77777777" w:rsidR="001073CB" w:rsidRDefault="00A73799">
      <w:pPr>
        <w:numPr>
          <w:ilvl w:val="0"/>
          <w:numId w:val="11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procurement.</w:t>
      </w:r>
    </w:p>
    <w:p w14:paraId="182BBA1C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fraud and tax avoidance (approval)</w:t>
      </w:r>
    </w:p>
    <w:p w14:paraId="182BBA1D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health and safety (endorse and recommend to the board)</w:t>
      </w:r>
    </w:p>
    <w:p w14:paraId="182BBA1E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IT (approval)</w:t>
      </w:r>
    </w:p>
    <w:p w14:paraId="182BBA1F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 xml:space="preserve">safeguarding (endorse and recommend to the </w:t>
      </w:r>
      <w:r>
        <w:rPr>
          <w:rFonts w:cs="Calibri Light"/>
          <w:szCs w:val="24"/>
        </w:rPr>
        <w:t>board)</w:t>
      </w:r>
    </w:p>
    <w:p w14:paraId="182BBA20" w14:textId="77777777" w:rsidR="001073CB" w:rsidRDefault="00A73799">
      <w:pPr>
        <w:numPr>
          <w:ilvl w:val="0"/>
          <w:numId w:val="9"/>
        </w:numPr>
        <w:overflowPunct w:val="0"/>
        <w:autoSpaceDE w:val="0"/>
        <w:spacing w:after="0" w:line="240" w:lineRule="auto"/>
        <w:textAlignment w:val="baseline"/>
        <w:rPr>
          <w:rFonts w:cs="Calibri Light"/>
          <w:szCs w:val="24"/>
        </w:rPr>
      </w:pPr>
      <w:r>
        <w:rPr>
          <w:rFonts w:cs="Calibri Light"/>
          <w:szCs w:val="24"/>
        </w:rPr>
        <w:t>whistleblowing (endorse and recommend to the board).</w:t>
      </w:r>
    </w:p>
    <w:p w14:paraId="182BBA21" w14:textId="77777777" w:rsidR="001073CB" w:rsidRDefault="00A73799">
      <w:pPr>
        <w:pStyle w:val="ListParagraph"/>
        <w:numPr>
          <w:ilvl w:val="0"/>
          <w:numId w:val="5"/>
        </w:numPr>
        <w:spacing w:after="0" w:line="20" w:lineRule="atLeast"/>
        <w:ind w:left="357" w:hanging="357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Oversight of all compliance areas including reviewing incidents and recommended actions:</w:t>
      </w:r>
    </w:p>
    <w:p w14:paraId="182BBA22" w14:textId="77777777" w:rsidR="001073CB" w:rsidRDefault="00A73799">
      <w:pPr>
        <w:numPr>
          <w:ilvl w:val="0"/>
          <w:numId w:val="12"/>
        </w:numPr>
        <w:overflowPunct w:val="0"/>
        <w:autoSpaceDE w:val="0"/>
        <w:spacing w:after="0" w:line="240" w:lineRule="auto"/>
        <w:textAlignment w:val="baseline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complaints</w:t>
      </w:r>
    </w:p>
    <w:p w14:paraId="182BBA23" w14:textId="77777777" w:rsidR="001073CB" w:rsidRDefault="00A73799">
      <w:pPr>
        <w:numPr>
          <w:ilvl w:val="0"/>
          <w:numId w:val="12"/>
        </w:numPr>
        <w:overflowPunct w:val="0"/>
        <w:autoSpaceDE w:val="0"/>
        <w:spacing w:after="0" w:line="240" w:lineRule="auto"/>
        <w:textAlignment w:val="baseline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data protection</w:t>
      </w:r>
    </w:p>
    <w:p w14:paraId="182BBA24" w14:textId="77777777" w:rsidR="001073CB" w:rsidRDefault="00A73799">
      <w:pPr>
        <w:numPr>
          <w:ilvl w:val="0"/>
          <w:numId w:val="12"/>
        </w:numPr>
        <w:overflowPunct w:val="0"/>
        <w:autoSpaceDE w:val="0"/>
        <w:spacing w:after="0" w:line="240" w:lineRule="auto"/>
        <w:textAlignment w:val="baseline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health and safety</w:t>
      </w:r>
    </w:p>
    <w:p w14:paraId="182BBA25" w14:textId="77777777" w:rsidR="001073CB" w:rsidRDefault="00A73799">
      <w:pPr>
        <w:numPr>
          <w:ilvl w:val="0"/>
          <w:numId w:val="12"/>
        </w:numPr>
        <w:overflowPunct w:val="0"/>
        <w:autoSpaceDE w:val="0"/>
        <w:spacing w:after="0" w:line="240" w:lineRule="auto"/>
        <w:textAlignment w:val="baseline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safeguarding</w:t>
      </w:r>
    </w:p>
    <w:p w14:paraId="182BBA26" w14:textId="77777777" w:rsidR="001073CB" w:rsidRDefault="00A73799">
      <w:pPr>
        <w:numPr>
          <w:ilvl w:val="0"/>
          <w:numId w:val="12"/>
        </w:numPr>
        <w:overflowPunct w:val="0"/>
        <w:autoSpaceDE w:val="0"/>
        <w:spacing w:after="0" w:line="240" w:lineRule="auto"/>
        <w:textAlignment w:val="baseline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whistleblowing.</w:t>
      </w:r>
    </w:p>
    <w:p w14:paraId="182BBA27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Reviewing new members in </w:t>
      </w:r>
      <w:r>
        <w:rPr>
          <w:rFonts w:cs="Calibri"/>
          <w:color w:val="auto"/>
          <w:szCs w:val="24"/>
        </w:rPr>
        <w:t xml:space="preserve">exceptional circumstances – </w:t>
      </w:r>
      <w:proofErr w:type="spellStart"/>
      <w:proofErr w:type="gramStart"/>
      <w:r>
        <w:rPr>
          <w:rFonts w:cs="Calibri"/>
          <w:color w:val="auto"/>
          <w:szCs w:val="24"/>
        </w:rPr>
        <w:t>eg</w:t>
      </w:r>
      <w:proofErr w:type="spellEnd"/>
      <w:proofErr w:type="gramEnd"/>
      <w:r>
        <w:rPr>
          <w:rFonts w:cs="Calibri"/>
          <w:color w:val="auto"/>
          <w:szCs w:val="24"/>
        </w:rPr>
        <w:t xml:space="preserve"> when this is contentious.  </w:t>
      </w:r>
    </w:p>
    <w:p w14:paraId="182BBA28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Removing membership.</w:t>
      </w:r>
    </w:p>
    <w:p w14:paraId="182BBA29" w14:textId="77777777" w:rsidR="001073CB" w:rsidRDefault="00A73799">
      <w:pPr>
        <w:pStyle w:val="Heading2"/>
        <w:spacing w:line="20" w:lineRule="atLeast"/>
      </w:pPr>
      <w:r>
        <w:t>Membership</w:t>
      </w:r>
    </w:p>
    <w:p w14:paraId="182BBA2A" w14:textId="77777777" w:rsidR="001073CB" w:rsidRDefault="00A73799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committee is made up of:</w:t>
      </w:r>
    </w:p>
    <w:p w14:paraId="182BBA2B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an independent chair</w:t>
      </w:r>
    </w:p>
    <w:p w14:paraId="182BBA2C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honorary treasurer</w:t>
      </w:r>
    </w:p>
    <w:p w14:paraId="182BBA2D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senior independent trustee</w:t>
      </w:r>
    </w:p>
    <w:p w14:paraId="182BBA2E" w14:textId="77777777" w:rsidR="001073CB" w:rsidRDefault="00A73799">
      <w:pPr>
        <w:pStyle w:val="ListParagraph"/>
        <w:numPr>
          <w:ilvl w:val="0"/>
          <w:numId w:val="5"/>
        </w:numPr>
        <w:spacing w:after="120"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three independent committee members.</w:t>
      </w:r>
    </w:p>
    <w:p w14:paraId="182BBA2F" w14:textId="77777777" w:rsidR="001073CB" w:rsidRDefault="00A73799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The committee requires f</w:t>
      </w:r>
      <w:r>
        <w:rPr>
          <w:rFonts w:cs="Calibri Light"/>
          <w:color w:val="auto"/>
          <w:szCs w:val="24"/>
        </w:rPr>
        <w:t>our people to be quorate of whom two people must be independent members.</w:t>
      </w:r>
    </w:p>
    <w:p w14:paraId="182BBA30" w14:textId="77777777" w:rsidR="001073CB" w:rsidRDefault="00A73799">
      <w:pPr>
        <w:spacing w:line="20" w:lineRule="atLeast"/>
        <w:rPr>
          <w:rFonts w:cs="Calibri Light"/>
          <w:color w:val="auto"/>
          <w:szCs w:val="24"/>
        </w:rPr>
      </w:pPr>
      <w:r>
        <w:rPr>
          <w:rFonts w:cs="Calibri Light"/>
          <w:color w:val="auto"/>
          <w:szCs w:val="24"/>
        </w:rPr>
        <w:t>All members of the committee are appointed by the board following recommendations from the governance and nominations committee.</w:t>
      </w:r>
    </w:p>
    <w:p w14:paraId="182BBA31" w14:textId="77777777" w:rsidR="001073CB" w:rsidRDefault="00A73799">
      <w:pPr>
        <w:pStyle w:val="Heading2"/>
        <w:spacing w:line="20" w:lineRule="atLeast"/>
      </w:pPr>
      <w:r>
        <w:t>Term</w:t>
      </w:r>
    </w:p>
    <w:p w14:paraId="182BBA32" w14:textId="77777777" w:rsidR="001073CB" w:rsidRDefault="00A73799">
      <w:r>
        <w:t>Trustee membership shall finish in line with thei</w:t>
      </w:r>
      <w:r>
        <w:t>r term on the board or before if the board elects to change the members of the committee.</w:t>
      </w:r>
    </w:p>
    <w:p w14:paraId="182BBA33" w14:textId="77777777" w:rsidR="001073CB" w:rsidRDefault="00A73799">
      <w:r>
        <w:lastRenderedPageBreak/>
        <w:t>Independent members are appointed for terms of up to three years by the board and can be reappointed once.</w:t>
      </w:r>
    </w:p>
    <w:p w14:paraId="182BBA34" w14:textId="77777777" w:rsidR="001073CB" w:rsidRDefault="00A73799">
      <w:pPr>
        <w:pStyle w:val="Heading2"/>
        <w:spacing w:line="20" w:lineRule="atLeast"/>
      </w:pPr>
      <w:r>
        <w:t>Attendance</w:t>
      </w:r>
    </w:p>
    <w:p w14:paraId="182BBA35" w14:textId="77777777" w:rsidR="001073CB" w:rsidRDefault="00A73799">
      <w:r>
        <w:t>Committee meetings can also be attended by the c</w:t>
      </w:r>
      <w:r>
        <w:t>hief executive, the chief operating officer and the senior governance and planning officer.</w:t>
      </w:r>
    </w:p>
    <w:p w14:paraId="182BBA36" w14:textId="77777777" w:rsidR="001073CB" w:rsidRDefault="00A73799">
      <w:r>
        <w:t xml:space="preserve">The external auditors shall be invited to any meetings which involve discussion of the annual audit. Staff will leave the meetings with the </w:t>
      </w:r>
      <w:proofErr w:type="gramStart"/>
      <w:r>
        <w:t>committee</w:t>
      </w:r>
      <w:proofErr w:type="gramEnd"/>
      <w:r>
        <w:t xml:space="preserve"> so the auditor</w:t>
      </w:r>
      <w:r>
        <w:t>s have time with only the committee at least once per year.</w:t>
      </w:r>
    </w:p>
    <w:p w14:paraId="182BBA37" w14:textId="77777777" w:rsidR="001073CB" w:rsidRDefault="00A73799">
      <w:r>
        <w:t xml:space="preserve">The chair can also co-opt active observers for a set </w:t>
      </w:r>
      <w:proofErr w:type="gramStart"/>
      <w:r>
        <w:t>period of time</w:t>
      </w:r>
      <w:proofErr w:type="gramEnd"/>
      <w:r>
        <w:t xml:space="preserve"> following a discussion with the committee which identifies the skills required from the additional attendee.</w:t>
      </w:r>
    </w:p>
    <w:p w14:paraId="182BBA38" w14:textId="77777777" w:rsidR="001073CB" w:rsidRDefault="00A73799">
      <w:r>
        <w:t>The committee may h</w:t>
      </w:r>
      <w:r>
        <w:t>ave in camera sessions without any members of staff as required.</w:t>
      </w:r>
    </w:p>
    <w:p w14:paraId="182BBA39" w14:textId="77777777" w:rsidR="001073CB" w:rsidRDefault="00A73799">
      <w:pPr>
        <w:pStyle w:val="Heading2"/>
        <w:spacing w:line="20" w:lineRule="atLeast"/>
      </w:pPr>
      <w:r>
        <w:t>Meetings</w:t>
      </w:r>
    </w:p>
    <w:p w14:paraId="182BBA3A" w14:textId="77777777" w:rsidR="001073CB" w:rsidRDefault="00A73799">
      <w:r>
        <w:t>The committee is likely to meet four times a year unless the committee decides differently.</w:t>
      </w:r>
    </w:p>
    <w:p w14:paraId="182BBA3B" w14:textId="77777777" w:rsidR="001073CB" w:rsidRDefault="00A73799">
      <w:r>
        <w:t>The committee will keep minutes of each business meeting including the names of members pr</w:t>
      </w:r>
      <w:r>
        <w:t>esent at a meeting and all resolutions and proceedings of the committee</w:t>
      </w:r>
    </w:p>
    <w:p w14:paraId="182BBA3C" w14:textId="77777777" w:rsidR="001073CB" w:rsidRDefault="00A73799">
      <w:r>
        <w:t>The minutes of meeting will be circulated to the board of trustees.</w:t>
      </w:r>
    </w:p>
    <w:p w14:paraId="182BBA3D" w14:textId="77777777" w:rsidR="001073CB" w:rsidRDefault="00A73799">
      <w:r>
        <w:t>The committee will decide on the appropriate format (virtual or face to face) for meetings though generally a hybrid</w:t>
      </w:r>
      <w:r>
        <w:t xml:space="preserve"> option will always be available.</w:t>
      </w:r>
    </w:p>
    <w:p w14:paraId="182BBA3E" w14:textId="77777777" w:rsidR="001073CB" w:rsidRDefault="001073CB"/>
    <w:sectPr w:rsidR="001073CB">
      <w:headerReference w:type="default" r:id="rId7"/>
      <w:footerReference w:type="default" r:id="rId8"/>
      <w:footerReference w:type="first" r:id="rId9"/>
      <w:pgSz w:w="11906" w:h="16838"/>
      <w:pgMar w:top="1474" w:right="181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B9FC" w14:textId="77777777" w:rsidR="00A73799" w:rsidRDefault="00A73799">
      <w:pPr>
        <w:spacing w:after="0" w:line="240" w:lineRule="auto"/>
      </w:pPr>
      <w:r>
        <w:separator/>
      </w:r>
    </w:p>
  </w:endnote>
  <w:endnote w:type="continuationSeparator" w:id="0">
    <w:p w14:paraId="182BB9FE" w14:textId="77777777" w:rsidR="00A73799" w:rsidRDefault="00A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A02" w14:textId="77777777" w:rsidR="00A73799" w:rsidRDefault="00A73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2BB9F8" wp14:editId="182BB9F9">
          <wp:simplePos x="0" y="0"/>
          <wp:positionH relativeFrom="column">
            <wp:posOffset>5274945</wp:posOffset>
          </wp:positionH>
          <wp:positionV relativeFrom="paragraph">
            <wp:posOffset>-1036957</wp:posOffset>
          </wp:positionV>
          <wp:extent cx="975600" cy="1184404"/>
          <wp:effectExtent l="0" t="0" r="0" b="0"/>
          <wp:wrapNone/>
          <wp:docPr id="632280051" name="Picture 12234908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600" cy="1184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A04" w14:textId="77777777" w:rsidR="00A73799" w:rsidRDefault="00A73799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82BB9FA" wp14:editId="182BB9FB">
          <wp:simplePos x="0" y="0"/>
          <wp:positionH relativeFrom="column">
            <wp:posOffset>5273043</wp:posOffset>
          </wp:positionH>
          <wp:positionV relativeFrom="paragraph">
            <wp:posOffset>-1036957</wp:posOffset>
          </wp:positionV>
          <wp:extent cx="975363" cy="1184276"/>
          <wp:effectExtent l="0" t="0" r="0" b="0"/>
          <wp:wrapNone/>
          <wp:docPr id="1236661091" name="Picture 4109495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3" cy="1184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B9F8" w14:textId="77777777" w:rsidR="00A73799" w:rsidRDefault="00A73799">
      <w:pPr>
        <w:spacing w:after="0" w:line="240" w:lineRule="auto"/>
      </w:pPr>
      <w:r>
        <w:separator/>
      </w:r>
    </w:p>
  </w:footnote>
  <w:footnote w:type="continuationSeparator" w:id="0">
    <w:p w14:paraId="182BB9FA" w14:textId="77777777" w:rsidR="00A73799" w:rsidRDefault="00A7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A00" w14:textId="77777777" w:rsidR="00A73799" w:rsidRDefault="00A73799">
    <w:pPr>
      <w:pStyle w:val="Header"/>
      <w:rPr>
        <w:sz w:val="24"/>
        <w:szCs w:val="24"/>
      </w:rPr>
    </w:pPr>
    <w:r>
      <w:rPr>
        <w:sz w:val="24"/>
        <w:szCs w:val="24"/>
      </w:rPr>
      <w:t xml:space="preserve">Audit and risk committee ‒ terms of </w:t>
    </w:r>
    <w:r>
      <w:rPr>
        <w:sz w:val="24"/>
        <w:szCs w:val="24"/>
      </w:rPr>
      <w:t>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9FA"/>
    <w:multiLevelType w:val="multilevel"/>
    <w:tmpl w:val="DC346BA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577A"/>
    <w:multiLevelType w:val="multilevel"/>
    <w:tmpl w:val="69D0A9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25B790D"/>
    <w:multiLevelType w:val="multilevel"/>
    <w:tmpl w:val="6BC49E3E"/>
    <w:styleLink w:val="LFO16"/>
    <w:lvl w:ilvl="0">
      <w:numFmt w:val="bullet"/>
      <w:pStyle w:val="ListBullet2"/>
      <w:lvlText w:val="̶"/>
      <w:lvlJc w:val="left"/>
      <w:pPr>
        <w:ind w:left="644" w:hanging="360"/>
      </w:pPr>
      <w:rPr>
        <w:rFonts w:ascii="Calibri" w:hAnsi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B2F2C30"/>
    <w:multiLevelType w:val="multilevel"/>
    <w:tmpl w:val="E3FE37A8"/>
    <w:lvl w:ilvl="0">
      <w:start w:val="1"/>
      <w:numFmt w:val="low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F804B15"/>
    <w:multiLevelType w:val="multilevel"/>
    <w:tmpl w:val="55DE84FA"/>
    <w:styleLink w:val="LFO18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0746AD7"/>
    <w:multiLevelType w:val="multilevel"/>
    <w:tmpl w:val="F156F5A6"/>
    <w:styleLink w:val="LFO17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34F4E9C"/>
    <w:multiLevelType w:val="multilevel"/>
    <w:tmpl w:val="F476F3BE"/>
    <w:lvl w:ilvl="0">
      <w:start w:val="1"/>
      <w:numFmt w:val="lowerRoman"/>
      <w:lvlText w:val="%1."/>
      <w:lvlJc w:val="right"/>
      <w:pPr>
        <w:ind w:left="180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742A"/>
    <w:multiLevelType w:val="multilevel"/>
    <w:tmpl w:val="5C0E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92B6C"/>
    <w:multiLevelType w:val="multilevel"/>
    <w:tmpl w:val="33583ED0"/>
    <w:styleLink w:val="LFO15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C4F56F3"/>
    <w:multiLevelType w:val="multilevel"/>
    <w:tmpl w:val="D9C64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8E65C7"/>
    <w:multiLevelType w:val="multilevel"/>
    <w:tmpl w:val="B0B2447C"/>
    <w:lvl w:ilvl="0">
      <w:start w:val="2"/>
      <w:numFmt w:val="low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A8E7256"/>
    <w:multiLevelType w:val="multilevel"/>
    <w:tmpl w:val="34ECB2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55137">
    <w:abstractNumId w:val="8"/>
  </w:num>
  <w:num w:numId="2" w16cid:durableId="267856870">
    <w:abstractNumId w:val="2"/>
  </w:num>
  <w:num w:numId="3" w16cid:durableId="1117216452">
    <w:abstractNumId w:val="5"/>
  </w:num>
  <w:num w:numId="4" w16cid:durableId="1745181559">
    <w:abstractNumId w:val="4"/>
  </w:num>
  <w:num w:numId="5" w16cid:durableId="606733694">
    <w:abstractNumId w:val="1"/>
  </w:num>
  <w:num w:numId="6" w16cid:durableId="363991331">
    <w:abstractNumId w:val="0"/>
  </w:num>
  <w:num w:numId="7" w16cid:durableId="1773895211">
    <w:abstractNumId w:val="9"/>
  </w:num>
  <w:num w:numId="8" w16cid:durableId="811361350">
    <w:abstractNumId w:val="6"/>
  </w:num>
  <w:num w:numId="9" w16cid:durableId="801532405">
    <w:abstractNumId w:val="11"/>
  </w:num>
  <w:num w:numId="10" w16cid:durableId="1230963687">
    <w:abstractNumId w:val="3"/>
  </w:num>
  <w:num w:numId="11" w16cid:durableId="1549341024">
    <w:abstractNumId w:val="10"/>
  </w:num>
  <w:num w:numId="12" w16cid:durableId="1652949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73CB"/>
    <w:rsid w:val="001073CB"/>
    <w:rsid w:val="00A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B9F8"/>
  <w15:docId w15:val="{E98C0CA1-3133-40D3-B6A3-44CE1830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icrosoft JhengHei" w:hAnsi="Calibri" w:cs="Arial"/>
        <w:sz w:val="22"/>
        <w:szCs w:val="22"/>
        <w:lang w:val="en-GB" w:eastAsia="zh-TW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0" w:line="300" w:lineRule="atLeast"/>
    </w:pPr>
    <w:rPr>
      <w:rFonts w:ascii="Calibri Light" w:hAnsi="Calibri Light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suppressAutoHyphens/>
      <w:spacing w:after="0" w:line="240" w:lineRule="auto"/>
      <w:outlineLvl w:val="0"/>
    </w:pPr>
    <w:rPr>
      <w:b/>
      <w:caps/>
      <w:color w:val="522A6B"/>
      <w:sz w:val="48"/>
      <w:szCs w:val="64"/>
    </w:rPr>
  </w:style>
  <w:style w:type="paragraph" w:styleId="Heading2">
    <w:name w:val="heading 2"/>
    <w:basedOn w:val="Heading1"/>
    <w:next w:val="Normal"/>
    <w:uiPriority w:val="9"/>
    <w:unhideWhenUsed/>
    <w:qFormat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uiPriority w:val="9"/>
    <w:semiHidden/>
    <w:unhideWhenUsed/>
    <w:qFormat/>
    <w:pPr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hAnsi="Calibri"/>
      <w:b/>
      <w:caps/>
      <w:color w:val="522A6B"/>
      <w:sz w:val="48"/>
      <w:szCs w:val="64"/>
    </w:rPr>
  </w:style>
  <w:style w:type="character" w:customStyle="1" w:styleId="Heading2Char">
    <w:name w:val="Heading 2 Char"/>
    <w:basedOn w:val="DefaultParagraphFont"/>
    <w:rPr>
      <w:rFonts w:ascii="Calibri" w:hAnsi="Calibri"/>
      <w:b/>
      <w:color w:val="522A6B"/>
      <w:sz w:val="40"/>
      <w:szCs w:val="64"/>
    </w:rPr>
  </w:style>
  <w:style w:type="paragraph" w:styleId="Caption">
    <w:name w:val="caption"/>
    <w:basedOn w:val="Normal"/>
    <w:next w:val="Normal"/>
    <w:pPr>
      <w:spacing w:before="120" w:after="120" w:line="220" w:lineRule="atLeast"/>
    </w:pPr>
    <w:rPr>
      <w:bCs/>
      <w:color w:val="7F7F7F"/>
      <w:sz w:val="20"/>
      <w:szCs w:val="18"/>
    </w:rPr>
  </w:style>
  <w:style w:type="paragraph" w:styleId="NoSpacing">
    <w:name w:val="No Spacing"/>
    <w:pPr>
      <w:suppressAutoHyphens/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rPr>
      <w:lang w:val="en-US" w:eastAsia="ja-JP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000000"/>
      <w:sz w:val="16"/>
      <w:szCs w:val="16"/>
    </w:rPr>
  </w:style>
  <w:style w:type="paragraph" w:customStyle="1" w:styleId="Documenttitle">
    <w:name w:val="Document title"/>
    <w:basedOn w:val="Normal"/>
    <w:next w:val="Documentsubtitle"/>
    <w:pPr>
      <w:spacing w:after="0" w:line="216" w:lineRule="auto"/>
    </w:pPr>
    <w:rPr>
      <w:rFonts w:ascii="Verlag Black" w:hAnsi="Verlag Black"/>
      <w:caps/>
      <w:color w:val="522A6B"/>
      <w:sz w:val="56"/>
    </w:rPr>
  </w:style>
  <w:style w:type="paragraph" w:customStyle="1" w:styleId="Documentsubtitle">
    <w:name w:val="Document subtitle"/>
    <w:basedOn w:val="Heading1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pPr>
      <w:spacing w:before="120" w:after="0"/>
    </w:pPr>
    <w:rPr>
      <w:color w:val="522A6B"/>
      <w:sz w:val="32"/>
    </w:rPr>
  </w:style>
  <w:style w:type="paragraph" w:customStyle="1" w:styleId="Contentstitle">
    <w:name w:val="Contents title"/>
    <w:basedOn w:val="Heading2"/>
    <w:next w:val="Normal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  <w:rPr>
      <w:color w:val="7F7F7F"/>
      <w:sz w:val="16"/>
    </w:rPr>
  </w:style>
  <w:style w:type="character" w:customStyle="1" w:styleId="HeaderChar">
    <w:name w:val="Header Char"/>
    <w:basedOn w:val="DefaultParagraphFont"/>
    <w:rPr>
      <w:rFonts w:ascii="Calibri Light" w:hAnsi="Calibri Light"/>
      <w:color w:val="7F7F7F"/>
      <w:sz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 Light" w:hAnsi="Calibri Light"/>
      <w:color w:val="000000"/>
      <w:sz w:val="24"/>
    </w:rPr>
  </w:style>
  <w:style w:type="character" w:customStyle="1" w:styleId="Heading3Char">
    <w:name w:val="Heading 3 Char"/>
    <w:basedOn w:val="DefaultParagraphFont"/>
    <w:rPr>
      <w:rFonts w:ascii="Calibri" w:hAnsi="Calibri"/>
      <w:b/>
      <w:color w:val="522A6B"/>
      <w:sz w:val="32"/>
      <w:szCs w:val="64"/>
    </w:rPr>
  </w:style>
  <w:style w:type="paragraph" w:styleId="ListBullet">
    <w:name w:val="List Bullet"/>
    <w:basedOn w:val="Normal"/>
    <w:pPr>
      <w:numPr>
        <w:numId w:val="1"/>
      </w:numPr>
      <w:tabs>
        <w:tab w:val="left" w:pos="-796"/>
      </w:tabs>
      <w:spacing w:after="120" w:line="276" w:lineRule="auto"/>
      <w:contextualSpacing/>
    </w:pPr>
  </w:style>
  <w:style w:type="paragraph" w:styleId="ListBullet2">
    <w:name w:val="List Bullet 2"/>
    <w:basedOn w:val="Normal"/>
    <w:pPr>
      <w:numPr>
        <w:numId w:val="2"/>
      </w:numPr>
      <w:tabs>
        <w:tab w:val="left" w:pos="-1365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</w:style>
  <w:style w:type="paragraph" w:styleId="TOC1">
    <w:name w:val="toc 1"/>
    <w:basedOn w:val="Normal"/>
    <w:next w:val="Normal"/>
    <w:autoRedefine/>
    <w:pPr>
      <w:tabs>
        <w:tab w:val="right" w:leader="dot" w:pos="8948"/>
      </w:tabs>
      <w:spacing w:after="80"/>
      <w:ind w:right="2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3"/>
      </w:numPr>
      <w:tabs>
        <w:tab w:val="left" w:pos="-796"/>
      </w:tabs>
      <w:spacing w:after="120" w:line="276" w:lineRule="auto"/>
      <w:contextualSpacing/>
    </w:pPr>
  </w:style>
  <w:style w:type="paragraph" w:styleId="ListNumber2">
    <w:name w:val="List Number 2"/>
    <w:basedOn w:val="Normal"/>
    <w:pPr>
      <w:numPr>
        <w:numId w:val="4"/>
      </w:numPr>
      <w:tabs>
        <w:tab w:val="left" w:pos="-1362"/>
      </w:tabs>
      <w:spacing w:after="120" w:line="276" w:lineRule="auto"/>
      <w:contextualSpacing/>
    </w:pPr>
  </w:style>
  <w:style w:type="paragraph" w:customStyle="1" w:styleId="Tableheading">
    <w:name w:val="Table heading"/>
    <w:basedOn w:val="Normal"/>
    <w:pPr>
      <w:spacing w:after="0"/>
    </w:pPr>
    <w:rPr>
      <w:rFonts w:ascii="Calibri" w:hAnsi="Calibri"/>
      <w:b/>
      <w:color w:val="FFFFFF"/>
      <w:sz w:val="22"/>
    </w:rPr>
  </w:style>
  <w:style w:type="paragraph" w:customStyle="1" w:styleId="Tabletext">
    <w:name w:val="Table text"/>
    <w:basedOn w:val="Tableheading"/>
    <w:rPr>
      <w:b w:val="0"/>
      <w:color w:val="522A6B"/>
    </w:rPr>
  </w:style>
  <w:style w:type="paragraph" w:customStyle="1" w:styleId="Authorname">
    <w:name w:val="Author name"/>
    <w:basedOn w:val="Normal"/>
    <w:pPr>
      <w:spacing w:after="0"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rPr>
      <w:rFonts w:ascii="Calibri" w:hAnsi="Calibri"/>
      <w:b/>
      <w:color w:val="522A6B"/>
      <w:sz w:val="28"/>
      <w:szCs w:val="64"/>
    </w:rPr>
  </w:style>
  <w:style w:type="character" w:customStyle="1" w:styleId="Heading5Char">
    <w:name w:val="Heading 5 Char"/>
    <w:basedOn w:val="DefaultParagraphFont"/>
    <w:rPr>
      <w:rFonts w:ascii="Calibri" w:hAnsi="Calibri"/>
      <w:b/>
      <w:color w:val="000000"/>
      <w:sz w:val="24"/>
    </w:rPr>
  </w:style>
  <w:style w:type="character" w:styleId="IntenseEmphasis">
    <w:name w:val="Intense Emphasis"/>
    <w:basedOn w:val="DefaultParagraphFont"/>
    <w:rPr>
      <w:i/>
      <w:iCs/>
      <w:color w:val="BCBEB5"/>
    </w:rPr>
  </w:style>
  <w:style w:type="paragraph" w:styleId="IntenseQuote">
    <w:name w:val="Intense Quote"/>
    <w:basedOn w:val="Normal"/>
    <w:next w:val="Normal"/>
    <w:pPr>
      <w:pBdr>
        <w:top w:val="single" w:sz="4" w:space="10" w:color="BCBEB5"/>
        <w:bottom w:val="single" w:sz="4" w:space="10" w:color="BCBEB5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160"/>
      <w:ind w:left="864" w:right="864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Calibri Light" w:hAnsi="Calibri Light"/>
      <w:iCs/>
      <w:color w:val="404040"/>
      <w:sz w:val="24"/>
    </w:rPr>
  </w:style>
  <w:style w:type="character" w:styleId="Strong">
    <w:name w:val="Strong"/>
    <w:basedOn w:val="DefaultParagraphFont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" w:hAnsi="Calibri"/>
      <w:color w:val="auto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" w:eastAsia="Microsoft JhengHei" w:hAnsi="Calibri" w:cs="Arial"/>
      <w:spacing w:val="-10"/>
      <w:kern w:val="3"/>
      <w:sz w:val="56"/>
      <w:szCs w:val="56"/>
    </w:rPr>
  </w:style>
  <w:style w:type="paragraph" w:styleId="TOCHeading">
    <w:name w:val="TOC Heading"/>
    <w:basedOn w:val="Heading2"/>
    <w:next w:val="Normal"/>
    <w:rPr>
      <w:szCs w:val="52"/>
    </w:rPr>
  </w:style>
  <w:style w:type="paragraph" w:styleId="TOC3">
    <w:name w:val="toc 3"/>
    <w:basedOn w:val="TOC2"/>
    <w:next w:val="Normal"/>
    <w:autoRedefine/>
    <w:pPr>
      <w:spacing w:line="251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ableofFigures">
    <w:name w:val="table of figures"/>
    <w:basedOn w:val="Normal"/>
    <w:next w:val="Normal"/>
    <w:pPr>
      <w:tabs>
        <w:tab w:val="right" w:leader="dot" w:pos="8948"/>
      </w:tabs>
      <w:spacing w:after="80"/>
    </w:pPr>
  </w:style>
  <w:style w:type="character" w:styleId="IntenseReference">
    <w:name w:val="Intense Reference"/>
    <w:basedOn w:val="DefaultParagraphFont"/>
    <w:rPr>
      <w:rFonts w:ascii="Calibri" w:hAnsi="Calibri"/>
      <w:b/>
      <w:bCs/>
      <w:smallCaps/>
      <w:color w:val="BCBEB5"/>
      <w:spacing w:val="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numbering" w:customStyle="1" w:styleId="LFO15">
    <w:name w:val="LFO15"/>
    <w:basedOn w:val="NoList"/>
    <w:pPr>
      <w:numPr>
        <w:numId w:val="1"/>
      </w:numPr>
    </w:pPr>
  </w:style>
  <w:style w:type="numbering" w:customStyle="1" w:styleId="LFO16">
    <w:name w:val="LFO16"/>
    <w:basedOn w:val="NoList"/>
    <w:pPr>
      <w:numPr>
        <w:numId w:val="2"/>
      </w:numPr>
    </w:pPr>
  </w:style>
  <w:style w:type="numbering" w:customStyle="1" w:styleId="LFO17">
    <w:name w:val="LFO17"/>
    <w:basedOn w:val="NoList"/>
    <w:pPr>
      <w:numPr>
        <w:numId w:val="3"/>
      </w:numPr>
    </w:pPr>
  </w:style>
  <w:style w:type="numbering" w:customStyle="1" w:styleId="LFO18">
    <w:name w:val="LFO1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CVO%20general%20A4%20-%20default%20fo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7F3A600D8F42AF79078358D9E2C2" ma:contentTypeVersion="14" ma:contentTypeDescription="Create a new document." ma:contentTypeScope="" ma:versionID="e607133f8476cf40724076432513fd42">
  <xsd:schema xmlns:xsd="http://www.w3.org/2001/XMLSchema" xmlns:xs="http://www.w3.org/2001/XMLSchema" xmlns:p="http://schemas.microsoft.com/office/2006/metadata/properties" xmlns:ns2="076986a1-c671-4d05-9459-3d83f29b296a" xmlns:ns3="72ce63a4-fb0c-48ab-9703-035e97f6b25e" targetNamespace="http://schemas.microsoft.com/office/2006/metadata/properties" ma:root="true" ma:fieldsID="0f7ba1306478ede087abbb7a95e844e5" ns2:_="" ns3:_="">
    <xsd:import namespace="076986a1-c671-4d05-9459-3d83f29b296a"/>
    <xsd:import namespace="72ce63a4-fb0c-48ab-9703-035e97f6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86a1-c671-4d05-9459-3d83f29b2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02eada-e4a9-4e59-8e48-d65e5683c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63a4-fb0c-48ab-9703-035e97f6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2188bb-2843-470a-be1d-d68d15d9012e}" ma:internalName="TaxCatchAll" ma:showField="CatchAllData" ma:web="72ce63a4-fb0c-48ab-9703-035e97f6b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6986a1-c671-4d05-9459-3d83f29b296a">
      <Terms xmlns="http://schemas.microsoft.com/office/infopath/2007/PartnerControls"/>
    </lcf76f155ced4ddcb4097134ff3c332f>
    <TaxCatchAll xmlns="72ce63a4-fb0c-48ab-9703-035e97f6b25e" xsi:nil="true"/>
  </documentManagement>
</p:properties>
</file>

<file path=customXml/itemProps1.xml><?xml version="1.0" encoding="utf-8"?>
<ds:datastoreItem xmlns:ds="http://schemas.openxmlformats.org/officeDocument/2006/customXml" ds:itemID="{D2CD62F0-8A97-47C7-8F6F-4E610A6D0872}"/>
</file>

<file path=customXml/itemProps2.xml><?xml version="1.0" encoding="utf-8"?>
<ds:datastoreItem xmlns:ds="http://schemas.openxmlformats.org/officeDocument/2006/customXml" ds:itemID="{6D02D0F3-966A-41A9-AB1D-DC1FB6A0E183}"/>
</file>

<file path=customXml/itemProps3.xml><?xml version="1.0" encoding="utf-8"?>
<ds:datastoreItem xmlns:ds="http://schemas.openxmlformats.org/officeDocument/2006/customXml" ds:itemID="{42CC3D21-5BC7-4B11-9B25-0BDFD6E1F854}"/>
</file>

<file path=docProps/app.xml><?xml version="1.0" encoding="utf-8"?>
<Properties xmlns="http://schemas.openxmlformats.org/officeDocument/2006/extended-properties" xmlns:vt="http://schemas.openxmlformats.org/officeDocument/2006/docPropsVTypes">
  <Template>NCVO%20general%20A4%20-%20default%20fonts</Template>
  <TotalTime>2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Jim Beck</dc:creator>
  <cp:keywords>Keywords</cp:keywords>
  <dc:description/>
  <cp:lastModifiedBy>Jim Beck</cp:lastModifiedBy>
  <cp:revision>2</cp:revision>
  <cp:lastPrinted>2015-03-05T18:27:00Z</cp:lastPrinted>
  <dcterms:created xsi:type="dcterms:W3CDTF">2023-10-09T13:56:00Z</dcterms:created>
  <dcterms:modified xsi:type="dcterms:W3CDTF">2023-10-09T13:56:00Z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0x01010020197F3A600D8F42AF79078358D9E2C2</vt:lpwstr>
  </property>
</Properties>
</file>